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993"/>
        <w:gridCol w:w="2551"/>
        <w:gridCol w:w="1985"/>
        <w:gridCol w:w="1842"/>
        <w:gridCol w:w="1843"/>
      </w:tblGrid>
      <w:tr w:rsidR="00C26777" w:rsidRPr="00D8422B" w:rsidTr="00A30E00">
        <w:trPr>
          <w:trHeight w:val="976"/>
        </w:trPr>
        <w:tc>
          <w:tcPr>
            <w:tcW w:w="9214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CB2226" w:rsidRDefault="00C26777" w:rsidP="00A30E00">
            <w:pPr>
              <w:widowControl w:val="0"/>
              <w:tabs>
                <w:tab w:val="left" w:pos="709"/>
              </w:tabs>
              <w:suppressAutoHyphens/>
              <w:snapToGrid w:val="0"/>
              <w:spacing w:before="40" w:after="40" w:line="240" w:lineRule="auto"/>
              <w:ind w:left="78" w:hanging="78"/>
              <w:rPr>
                <w:sz w:val="20"/>
                <w:szCs w:val="20"/>
              </w:rPr>
            </w:pPr>
            <w:r w:rsidRPr="00CB2226">
              <w:rPr>
                <w:rFonts w:eastAsia="Lucida Sans Unicode" w:cs="Tahoma"/>
                <w:b/>
                <w:bCs/>
                <w:spacing w:val="10"/>
                <w:sz w:val="20"/>
                <w:szCs w:val="20"/>
                <w:lang w:eastAsia="hi-IN" w:bidi="hi-IN"/>
              </w:rPr>
              <w:t>Zakres świadczeń: świadczenia dzienne psychiatryczne rehabilitacyjne dla dorosłych i dzieci</w:t>
            </w:r>
          </w:p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napToGrid w:val="0"/>
              <w:spacing w:before="40" w:after="40" w:line="240" w:lineRule="auto"/>
              <w:ind w:left="78" w:hanging="78"/>
              <w:rPr>
                <w:sz w:val="20"/>
                <w:szCs w:val="20"/>
              </w:rPr>
            </w:pPr>
            <w:r w:rsidRPr="00D8422B">
              <w:rPr>
                <w:rFonts w:eastAsia="Lucida Sans Unicode" w:cs="Tahoma"/>
                <w:b/>
                <w:bCs/>
                <w:spacing w:val="10"/>
                <w:sz w:val="20"/>
                <w:szCs w:val="20"/>
                <w:lang w:eastAsia="hi-IN" w:bidi="hi-IN"/>
              </w:rPr>
              <w:t>Nazwa komórki organizacyjnej: ODDZIAŁ DZIENNY PSYCHIATRYCZNY REHABILITACYJNY</w:t>
            </w:r>
          </w:p>
        </w:tc>
      </w:tr>
      <w:tr w:rsidR="00C26777" w:rsidRPr="00D8422B" w:rsidTr="00A30E00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rFonts w:ascii="Calibri" w:eastAsia="Lucida Sans Unicode" w:hAnsi="Calibri" w:cs="Tahoma"/>
                <w:b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D8422B">
              <w:rPr>
                <w:rFonts w:eastAsia="Lucida Sans Unicode" w:cs="Tahoma"/>
                <w:b/>
                <w:bCs/>
                <w:spacing w:val="10"/>
                <w:sz w:val="20"/>
                <w:szCs w:val="20"/>
                <w:lang w:eastAsia="hi-IN" w:bidi="hi-IN"/>
              </w:rPr>
              <w:t>Nazwa parametru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D8422B">
              <w:rPr>
                <w:rFonts w:eastAsia="Lucida Sans Unicode" w:cs="Tahoma"/>
                <w:b/>
                <w:bCs/>
                <w:spacing w:val="10"/>
                <w:sz w:val="20"/>
                <w:szCs w:val="20"/>
                <w:lang w:eastAsia="hi-IN" w:bidi="hi-IN"/>
              </w:rPr>
              <w:t>2015 r.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napToGrid w:val="0"/>
              <w:spacing w:before="40" w:after="40" w:line="240" w:lineRule="auto"/>
              <w:ind w:left="78" w:hanging="78"/>
              <w:jc w:val="center"/>
              <w:rPr>
                <w:sz w:val="20"/>
                <w:szCs w:val="20"/>
              </w:rPr>
            </w:pPr>
            <w:r w:rsidRPr="00D8422B">
              <w:rPr>
                <w:rFonts w:eastAsia="Lucida Sans Unicode" w:cs="Tahoma"/>
                <w:b/>
                <w:bCs/>
                <w:spacing w:val="10"/>
                <w:sz w:val="20"/>
                <w:szCs w:val="20"/>
                <w:lang w:eastAsia="hi-IN" w:bidi="hi-IN"/>
              </w:rPr>
              <w:t>2016 r.</w:t>
            </w:r>
          </w:p>
        </w:tc>
      </w:tr>
      <w:tr w:rsidR="00C26777" w:rsidRPr="00D8422B" w:rsidTr="00A30E00"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8" w:type="dxa"/>
            </w:tcMar>
            <w:textDirection w:val="btLr"/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D8422B">
              <w:rPr>
                <w:rFonts w:eastAsia="Lucida Sans Unicode" w:cs="Tahoma"/>
                <w:b/>
                <w:spacing w:val="10"/>
                <w:sz w:val="20"/>
                <w:szCs w:val="20"/>
                <w:lang w:eastAsia="hi-IN" w:bidi="hi-IN"/>
              </w:rPr>
              <w:t>Wskaźniki efektywności medycznej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sz w:val="20"/>
                <w:szCs w:val="20"/>
              </w:rPr>
            </w:pPr>
            <w:r w:rsidRPr="00D8422B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Średnia liczba łóżek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D8422B"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D8422B">
              <w:rPr>
                <w:rFonts w:ascii="Calibri" w:hAnsi="Calibri"/>
                <w:sz w:val="20"/>
                <w:szCs w:val="20"/>
              </w:rPr>
              <w:t>24</w:t>
            </w:r>
          </w:p>
        </w:tc>
      </w:tr>
      <w:tr w:rsidR="00C26777" w:rsidRPr="00D8422B" w:rsidTr="00A30E00"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rFonts w:ascii="Calibri" w:eastAsia="Lucida Sans Unicode" w:hAnsi="Calibri" w:cs="Tahoma"/>
                <w:b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sz w:val="20"/>
                <w:szCs w:val="20"/>
              </w:rPr>
            </w:pPr>
            <w:r w:rsidRPr="00D8422B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Liczba osób leczonych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D8422B">
              <w:rPr>
                <w:rFonts w:ascii="Calibri" w:hAnsi="Calibri"/>
                <w:sz w:val="20"/>
                <w:szCs w:val="20"/>
              </w:rPr>
              <w:t>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D8422B">
              <w:rPr>
                <w:rFonts w:ascii="Calibri" w:hAnsi="Calibri"/>
                <w:sz w:val="20"/>
                <w:szCs w:val="20"/>
              </w:rPr>
              <w:t>143</w:t>
            </w:r>
          </w:p>
        </w:tc>
      </w:tr>
      <w:tr w:rsidR="00C26777" w:rsidRPr="00D8422B" w:rsidTr="00A30E00"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rFonts w:ascii="Calibri" w:eastAsia="Lucida Sans Unicode" w:hAnsi="Calibri" w:cs="Tahoma"/>
                <w:b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sz w:val="20"/>
                <w:szCs w:val="20"/>
              </w:rPr>
            </w:pPr>
            <w:r w:rsidRPr="00D8422B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Liczba osobodni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D8422B">
              <w:rPr>
                <w:rFonts w:ascii="Calibri" w:hAnsi="Calibri"/>
                <w:sz w:val="20"/>
                <w:szCs w:val="20"/>
              </w:rPr>
              <w:t>5908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D8422B">
              <w:rPr>
                <w:rFonts w:ascii="Calibri" w:hAnsi="Calibri"/>
                <w:sz w:val="20"/>
                <w:szCs w:val="20"/>
              </w:rPr>
              <w:t>4878</w:t>
            </w:r>
          </w:p>
        </w:tc>
      </w:tr>
      <w:tr w:rsidR="00C26777" w:rsidRPr="00D8422B" w:rsidTr="00A30E00"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rFonts w:ascii="Calibri" w:eastAsia="Lucida Sans Unicode" w:hAnsi="Calibri" w:cs="Tahoma"/>
                <w:b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sz w:val="20"/>
                <w:szCs w:val="20"/>
              </w:rPr>
            </w:pPr>
            <w:r w:rsidRPr="00D8422B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Średnia długość pobytu w dniach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D8422B">
              <w:rPr>
                <w:rFonts w:ascii="Calibri" w:hAnsi="Calibri"/>
                <w:sz w:val="20"/>
                <w:szCs w:val="20"/>
              </w:rPr>
              <w:t>190,99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D8422B">
              <w:rPr>
                <w:rFonts w:ascii="Calibri" w:hAnsi="Calibri"/>
                <w:sz w:val="20"/>
                <w:szCs w:val="20"/>
              </w:rPr>
              <w:t>196,53</w:t>
            </w:r>
          </w:p>
        </w:tc>
      </w:tr>
      <w:tr w:rsidR="00C26777" w:rsidRPr="00D8422B" w:rsidTr="00A30E00"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rFonts w:ascii="Calibri" w:eastAsia="Lucida Sans Unicode" w:hAnsi="Calibri" w:cs="Tahoma"/>
                <w:b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sz w:val="20"/>
                <w:szCs w:val="20"/>
              </w:rPr>
            </w:pPr>
            <w:r w:rsidRPr="00D8422B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% wykorzystania łóżek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Calibri" w:hAnsi="Calibri"/>
                <w:sz w:val="20"/>
                <w:szCs w:val="20"/>
              </w:rPr>
              <w:t>96,95%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  <w:t>89,605%</w:t>
            </w:r>
          </w:p>
        </w:tc>
      </w:tr>
      <w:tr w:rsidR="00C26777" w:rsidRPr="00D8422B" w:rsidTr="00A30E00">
        <w:trPr>
          <w:trHeight w:val="263"/>
        </w:trPr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rFonts w:ascii="Calibri" w:eastAsia="Lucida Sans Unicode" w:hAnsi="Calibri" w:cs="Tahoma"/>
                <w:b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sz w:val="20"/>
                <w:szCs w:val="20"/>
              </w:rPr>
            </w:pPr>
            <w:r w:rsidRPr="00D8422B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 xml:space="preserve">Średni czas oczekiwania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sz w:val="20"/>
                <w:szCs w:val="20"/>
              </w:rPr>
            </w:pPr>
            <w:r w:rsidRPr="00D8422B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przypadki stabilne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Calibri" w:hAnsi="Calibri"/>
                <w:sz w:val="20"/>
                <w:szCs w:val="20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Calibri" w:hAnsi="Calibri"/>
                <w:sz w:val="20"/>
                <w:szCs w:val="20"/>
              </w:rPr>
              <w:t>71</w:t>
            </w:r>
          </w:p>
        </w:tc>
      </w:tr>
      <w:tr w:rsidR="00C26777" w:rsidRPr="00D8422B" w:rsidTr="00A30E00">
        <w:trPr>
          <w:trHeight w:val="262"/>
        </w:trPr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rFonts w:ascii="Calibri" w:eastAsia="Lucida Sans Unicode" w:hAnsi="Calibri" w:cs="Tahoma"/>
                <w:b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sz w:val="20"/>
                <w:szCs w:val="20"/>
              </w:rPr>
            </w:pPr>
            <w:r w:rsidRPr="00D8422B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przypadki pilne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  <w:t>0</w:t>
            </w:r>
          </w:p>
        </w:tc>
      </w:tr>
      <w:tr w:rsidR="00C26777" w:rsidRPr="00D8422B" w:rsidTr="00A30E00"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textDirection w:val="btLr"/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D8422B">
              <w:rPr>
                <w:rFonts w:eastAsia="Lucida Sans Unicode" w:cs="Tahoma"/>
                <w:b/>
                <w:bCs/>
                <w:spacing w:val="10"/>
                <w:sz w:val="20"/>
                <w:szCs w:val="20"/>
                <w:lang w:eastAsia="hi-IN" w:bidi="hi-IN"/>
              </w:rPr>
              <w:t>Wskaźniki efektywności finansowej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sz w:val="20"/>
                <w:szCs w:val="20"/>
              </w:rPr>
            </w:pPr>
            <w:r w:rsidRPr="00D8422B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Koszty bezpośrednie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  <w:t>162 961,64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  <w:t>168 381,05</w:t>
            </w:r>
          </w:p>
        </w:tc>
      </w:tr>
      <w:tr w:rsidR="00C26777" w:rsidRPr="00D8422B" w:rsidTr="00A30E00"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rFonts w:ascii="Calibri" w:eastAsia="Lucida Sans Unicode" w:hAnsi="Calibri" w:cs="Tahoma"/>
                <w:b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sz w:val="20"/>
                <w:szCs w:val="20"/>
              </w:rPr>
            </w:pPr>
            <w:r w:rsidRPr="00D8422B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Koszty pośrednie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  <w:t>31 698,38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  <w:t>21 153,92</w:t>
            </w:r>
          </w:p>
        </w:tc>
      </w:tr>
      <w:tr w:rsidR="00C26777" w:rsidRPr="00D8422B" w:rsidTr="00A30E00"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rFonts w:ascii="Calibri" w:eastAsia="Lucida Sans Unicode" w:hAnsi="Calibri" w:cs="Tahoma"/>
                <w:b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sz w:val="20"/>
                <w:szCs w:val="20"/>
              </w:rPr>
            </w:pPr>
            <w:r w:rsidRPr="00D8422B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 xml:space="preserve">Koszty zarządu i </w:t>
            </w:r>
            <w:proofErr w:type="spellStart"/>
            <w:r w:rsidRPr="00D8422B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ogólnoadministracyjne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  <w:t>7 374,31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  <w:t>12 876,81</w:t>
            </w:r>
          </w:p>
        </w:tc>
      </w:tr>
      <w:tr w:rsidR="00C26777" w:rsidRPr="00D8422B" w:rsidTr="00A30E00"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rFonts w:ascii="Calibri" w:eastAsia="Lucida Sans Unicode" w:hAnsi="Calibri" w:cs="Tahoma"/>
                <w:b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sz w:val="20"/>
                <w:szCs w:val="20"/>
              </w:rPr>
            </w:pPr>
            <w:r w:rsidRPr="00D8422B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Koszty ogółem, w tym: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  <w:t>202 034,33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  <w:t>202 411,78</w:t>
            </w:r>
          </w:p>
        </w:tc>
      </w:tr>
      <w:tr w:rsidR="00C26777" w:rsidRPr="00D8422B" w:rsidTr="00A30E00"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rFonts w:ascii="Calibri" w:eastAsia="Lucida Sans Unicode" w:hAnsi="Calibri" w:cs="Tahoma"/>
                <w:b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sz w:val="20"/>
                <w:szCs w:val="20"/>
              </w:rPr>
            </w:pPr>
            <w:r w:rsidRPr="00D8422B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Koszty pracy z tytułu wynagrodzeń - suma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  <w:t>18 204,87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  <w:t>35 196,47</w:t>
            </w:r>
          </w:p>
        </w:tc>
      </w:tr>
      <w:tr w:rsidR="00C26777" w:rsidRPr="00D8422B" w:rsidTr="00A30E00"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rFonts w:ascii="Calibri" w:eastAsia="Lucida Sans Unicode" w:hAnsi="Calibri" w:cs="Tahoma"/>
                <w:b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sz w:val="20"/>
                <w:szCs w:val="20"/>
              </w:rPr>
            </w:pPr>
            <w:r w:rsidRPr="00D8422B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Koszty pracy z tytułu umów cywilno-prawnych (kontrakty) - suma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  <w:t>112 070,15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  <w:t>109 624,59</w:t>
            </w:r>
          </w:p>
        </w:tc>
      </w:tr>
      <w:tr w:rsidR="00C26777" w:rsidRPr="00D8422B" w:rsidTr="00A30E00"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rFonts w:ascii="Calibri" w:eastAsia="Lucida Sans Unicode" w:hAnsi="Calibri" w:cs="Tahoma"/>
                <w:b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sz w:val="20"/>
                <w:szCs w:val="20"/>
              </w:rPr>
            </w:pPr>
            <w:r w:rsidRPr="00D8422B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Przychody ogółem, w tym: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  <w:t>555 981,00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  <w:t>457 516,80</w:t>
            </w:r>
          </w:p>
        </w:tc>
      </w:tr>
      <w:tr w:rsidR="00C26777" w:rsidRPr="00D8422B" w:rsidTr="00A30E00"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rFonts w:ascii="Calibri" w:eastAsia="Lucida Sans Unicode" w:hAnsi="Calibri" w:cs="Tahoma"/>
                <w:b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sz w:val="20"/>
                <w:szCs w:val="20"/>
              </w:rPr>
            </w:pPr>
            <w:r w:rsidRPr="00D8422B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Przychody z NFZ, w tym: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D8422B"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  <w:t>555 981,00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D8422B"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  <w:t>457 516,80</w:t>
            </w:r>
          </w:p>
        </w:tc>
      </w:tr>
      <w:tr w:rsidR="00C26777" w:rsidRPr="00D8422B" w:rsidTr="00A30E00"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rFonts w:ascii="Calibri" w:eastAsia="Lucida Sans Unicode" w:hAnsi="Calibri" w:cs="Tahoma"/>
                <w:b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sz w:val="20"/>
                <w:szCs w:val="20"/>
              </w:rPr>
            </w:pPr>
            <w:r w:rsidRPr="00D8422B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 xml:space="preserve">nieopłacone </w:t>
            </w:r>
            <w:proofErr w:type="spellStart"/>
            <w:r w:rsidRPr="00D8422B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nadwykoniania</w:t>
            </w:r>
            <w:proofErr w:type="spellEnd"/>
            <w:r w:rsidRPr="00D8422B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 xml:space="preserve"> wg stanu na 31.12 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D8422B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D8422B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0,00</w:t>
            </w:r>
          </w:p>
        </w:tc>
      </w:tr>
      <w:tr w:rsidR="00C26777" w:rsidRPr="00D8422B" w:rsidTr="00A30E00"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rFonts w:ascii="Calibri" w:eastAsia="Lucida Sans Unicode" w:hAnsi="Calibri" w:cs="Tahoma"/>
                <w:b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sz w:val="20"/>
                <w:szCs w:val="20"/>
              </w:rPr>
            </w:pPr>
            <w:r w:rsidRPr="00D8422B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 xml:space="preserve">nieopłacone </w:t>
            </w:r>
            <w:proofErr w:type="spellStart"/>
            <w:r w:rsidRPr="00D8422B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nadwykoniania</w:t>
            </w:r>
            <w:proofErr w:type="spellEnd"/>
            <w:r w:rsidRPr="00D8422B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 xml:space="preserve"> wg stanu na dzień sporządzenia raportu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D8422B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D8422B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0,00</w:t>
            </w:r>
          </w:p>
        </w:tc>
      </w:tr>
      <w:tr w:rsidR="00C26777" w:rsidRPr="00D8422B" w:rsidTr="00A30E00"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rFonts w:ascii="Calibri" w:eastAsia="Lucida Sans Unicode" w:hAnsi="Calibri" w:cs="Tahoma"/>
                <w:b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sz w:val="20"/>
                <w:szCs w:val="20"/>
              </w:rPr>
            </w:pPr>
            <w:r w:rsidRPr="00D8422B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 xml:space="preserve">Wynik finansowy (bez </w:t>
            </w:r>
            <w:proofErr w:type="spellStart"/>
            <w:r w:rsidRPr="00D8422B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nadwykonań</w:t>
            </w:r>
            <w:proofErr w:type="spellEnd"/>
            <w:r w:rsidRPr="00D8422B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  <w:t>353 946,67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  <w:t>255 105,02</w:t>
            </w:r>
          </w:p>
        </w:tc>
      </w:tr>
      <w:tr w:rsidR="00C26777" w:rsidRPr="00D8422B" w:rsidTr="00A30E00"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rFonts w:ascii="Calibri" w:eastAsia="Lucida Sans Unicode" w:hAnsi="Calibri" w:cs="Tahoma"/>
                <w:b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sz w:val="20"/>
                <w:szCs w:val="20"/>
              </w:rPr>
            </w:pPr>
            <w:r w:rsidRPr="00D8422B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 xml:space="preserve">Wynik finansowy (z </w:t>
            </w:r>
            <w:proofErr w:type="spellStart"/>
            <w:r w:rsidRPr="00D8422B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nadwykonaniami</w:t>
            </w:r>
            <w:proofErr w:type="spellEnd"/>
            <w:r w:rsidRPr="00D8422B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</w:tr>
      <w:tr w:rsidR="00C26777" w:rsidRPr="00D8422B" w:rsidTr="00A30E00"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textDirection w:val="btLr"/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D8422B">
              <w:rPr>
                <w:rFonts w:eastAsia="Lucida Sans Unicode" w:cs="Tahoma"/>
                <w:b/>
                <w:bCs/>
                <w:spacing w:val="10"/>
                <w:sz w:val="20"/>
                <w:szCs w:val="20"/>
                <w:lang w:eastAsia="hi-IN" w:bidi="hi-IN"/>
              </w:rPr>
              <w:t>Analiza zatrudnienia – wybrane informacje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sz w:val="20"/>
                <w:szCs w:val="20"/>
              </w:rPr>
            </w:pPr>
            <w:r w:rsidRPr="00D8422B">
              <w:rPr>
                <w:rFonts w:eastAsia="Times New Roman" w:cs="Arial"/>
                <w:sz w:val="20"/>
                <w:szCs w:val="20"/>
                <w:lang w:eastAsia="pl-PL"/>
              </w:rPr>
              <w:t>Lekarze (z rezydentami, bez stażystów)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C26777" w:rsidRPr="00D8422B" w:rsidRDefault="00C26777" w:rsidP="00A30E00">
            <w:pPr>
              <w:spacing w:after="0" w:line="240" w:lineRule="auto"/>
              <w:rPr>
                <w:sz w:val="20"/>
                <w:szCs w:val="20"/>
              </w:rPr>
            </w:pPr>
            <w:r w:rsidRPr="00D8422B">
              <w:rPr>
                <w:rFonts w:eastAsia="Times New Roman" w:cs="Arial"/>
                <w:bCs/>
                <w:sz w:val="20"/>
                <w:szCs w:val="20"/>
                <w:lang w:eastAsia="pl-PL"/>
              </w:rPr>
              <w:t>Umowa o pracę w osobach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  <w:t>1</w:t>
            </w:r>
          </w:p>
        </w:tc>
      </w:tr>
      <w:tr w:rsidR="00C26777" w:rsidRPr="00D8422B" w:rsidTr="00A30E00">
        <w:tc>
          <w:tcPr>
            <w:tcW w:w="9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textDirection w:val="btL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ind w:left="113" w:right="113"/>
              <w:rPr>
                <w:rFonts w:ascii="Calibri" w:eastAsia="Lucida Sans Unicode" w:hAnsi="Calibri" w:cs="Tahoma"/>
                <w:b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C26777" w:rsidRPr="00D8422B" w:rsidRDefault="00C26777" w:rsidP="00A30E00">
            <w:pPr>
              <w:spacing w:after="0" w:line="240" w:lineRule="auto"/>
              <w:rPr>
                <w:sz w:val="20"/>
                <w:szCs w:val="20"/>
              </w:rPr>
            </w:pPr>
            <w:r w:rsidRPr="00D8422B">
              <w:rPr>
                <w:rFonts w:eastAsia="Times New Roman" w:cs="Arial"/>
                <w:bCs/>
                <w:sz w:val="20"/>
                <w:szCs w:val="20"/>
                <w:lang w:eastAsia="pl-PL"/>
              </w:rPr>
              <w:t>Umowa o pracę w etatach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  <w:t>0,60</w:t>
            </w:r>
          </w:p>
        </w:tc>
      </w:tr>
      <w:tr w:rsidR="00C26777" w:rsidRPr="00D8422B" w:rsidTr="00A30E00">
        <w:tc>
          <w:tcPr>
            <w:tcW w:w="9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textDirection w:val="btL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ind w:left="113" w:right="113"/>
              <w:rPr>
                <w:rFonts w:ascii="Calibri" w:eastAsia="Lucida Sans Unicode" w:hAnsi="Calibri" w:cs="Tahoma"/>
                <w:b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C26777" w:rsidRPr="00D8422B" w:rsidRDefault="00C26777" w:rsidP="00A30E00">
            <w:pPr>
              <w:spacing w:after="0" w:line="240" w:lineRule="auto"/>
              <w:rPr>
                <w:sz w:val="20"/>
                <w:szCs w:val="20"/>
              </w:rPr>
            </w:pPr>
            <w:r w:rsidRPr="00D8422B">
              <w:rPr>
                <w:rFonts w:eastAsia="Times New Roman" w:cs="Arial"/>
                <w:bCs/>
                <w:sz w:val="20"/>
                <w:szCs w:val="20"/>
                <w:lang w:eastAsia="pl-PL"/>
              </w:rPr>
              <w:t>Umowa cywilno-prawna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  <w:t>2</w:t>
            </w:r>
          </w:p>
        </w:tc>
      </w:tr>
      <w:tr w:rsidR="00C26777" w:rsidRPr="00D8422B" w:rsidTr="00A30E00">
        <w:tc>
          <w:tcPr>
            <w:tcW w:w="9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rFonts w:ascii="Calibri" w:eastAsia="Lucida Sans Unicode" w:hAnsi="Calibri" w:cs="Tahoma"/>
                <w:b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sz w:val="20"/>
                <w:szCs w:val="20"/>
              </w:rPr>
            </w:pPr>
            <w:r w:rsidRPr="00D8422B">
              <w:rPr>
                <w:rFonts w:eastAsia="Times New Roman" w:cs="Arial"/>
                <w:sz w:val="20"/>
                <w:szCs w:val="20"/>
                <w:lang w:eastAsia="pl-PL"/>
              </w:rPr>
              <w:t>Pielęgniarki i położne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C26777" w:rsidRPr="00D8422B" w:rsidRDefault="00C26777" w:rsidP="00A30E00">
            <w:pPr>
              <w:spacing w:after="0" w:line="240" w:lineRule="auto"/>
              <w:rPr>
                <w:sz w:val="20"/>
                <w:szCs w:val="20"/>
              </w:rPr>
            </w:pPr>
            <w:r w:rsidRPr="00D8422B">
              <w:rPr>
                <w:rFonts w:eastAsia="Times New Roman" w:cs="Arial"/>
                <w:bCs/>
                <w:sz w:val="20"/>
                <w:szCs w:val="20"/>
                <w:lang w:eastAsia="pl-PL"/>
              </w:rPr>
              <w:t>Umowa o pracę w osobach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  <w:t>0</w:t>
            </w:r>
          </w:p>
        </w:tc>
      </w:tr>
      <w:tr w:rsidR="00C26777" w:rsidRPr="00D8422B" w:rsidTr="00A30E00">
        <w:tc>
          <w:tcPr>
            <w:tcW w:w="9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rFonts w:ascii="Calibri" w:eastAsia="Lucida Sans Unicode" w:hAnsi="Calibri" w:cs="Tahoma"/>
                <w:b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C26777" w:rsidRPr="00D8422B" w:rsidRDefault="00C26777" w:rsidP="00A30E00">
            <w:pPr>
              <w:spacing w:after="0" w:line="240" w:lineRule="auto"/>
              <w:rPr>
                <w:sz w:val="20"/>
                <w:szCs w:val="20"/>
              </w:rPr>
            </w:pPr>
            <w:r w:rsidRPr="00D8422B">
              <w:rPr>
                <w:rFonts w:eastAsia="Times New Roman" w:cs="Arial"/>
                <w:bCs/>
                <w:sz w:val="20"/>
                <w:szCs w:val="20"/>
                <w:lang w:eastAsia="pl-PL"/>
              </w:rPr>
              <w:t>Umowa o pracę w etatach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  <w:t>0,5</w:t>
            </w:r>
          </w:p>
        </w:tc>
      </w:tr>
      <w:tr w:rsidR="00C26777" w:rsidRPr="00D8422B" w:rsidTr="00A30E00">
        <w:tc>
          <w:tcPr>
            <w:tcW w:w="9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rFonts w:ascii="Calibri" w:eastAsia="Lucida Sans Unicode" w:hAnsi="Calibri" w:cs="Tahoma"/>
                <w:b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C26777" w:rsidRPr="00D8422B" w:rsidRDefault="00C26777" w:rsidP="00A30E00">
            <w:pPr>
              <w:spacing w:after="0" w:line="240" w:lineRule="auto"/>
              <w:rPr>
                <w:sz w:val="20"/>
                <w:szCs w:val="20"/>
              </w:rPr>
            </w:pPr>
            <w:r w:rsidRPr="00D8422B">
              <w:rPr>
                <w:rFonts w:eastAsia="Times New Roman" w:cs="Arial"/>
                <w:bCs/>
                <w:sz w:val="20"/>
                <w:szCs w:val="20"/>
                <w:lang w:eastAsia="pl-PL"/>
              </w:rPr>
              <w:t>Umowa cywilno-prawna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  <w:t>1</w:t>
            </w:r>
          </w:p>
        </w:tc>
      </w:tr>
      <w:tr w:rsidR="00C26777" w:rsidRPr="00D8422B" w:rsidTr="00A30E00">
        <w:tc>
          <w:tcPr>
            <w:tcW w:w="9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rFonts w:ascii="Calibri" w:eastAsia="Lucida Sans Unicode" w:hAnsi="Calibri" w:cs="Tahoma"/>
                <w:b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proofErr w:type="spellStart"/>
            <w:r w:rsidRPr="00D8422B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Psycholodzy,psychoterapeuci</w:t>
            </w:r>
            <w:proofErr w:type="spellEnd"/>
            <w:r w:rsidRPr="00D8422B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C26777" w:rsidRPr="00D8422B" w:rsidRDefault="00C26777" w:rsidP="00A30E0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D8422B">
              <w:rPr>
                <w:rFonts w:eastAsia="Times New Roman" w:cs="Arial"/>
                <w:bCs/>
                <w:sz w:val="20"/>
                <w:szCs w:val="20"/>
                <w:lang w:eastAsia="pl-PL"/>
              </w:rPr>
              <w:t>Umowa o pracę w osobach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  <w:t>1</w:t>
            </w:r>
          </w:p>
        </w:tc>
      </w:tr>
      <w:tr w:rsidR="00C26777" w:rsidRPr="00D8422B" w:rsidTr="00A30E00">
        <w:tc>
          <w:tcPr>
            <w:tcW w:w="9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rFonts w:ascii="Calibri" w:eastAsia="Lucida Sans Unicode" w:hAnsi="Calibri" w:cs="Tahoma"/>
                <w:b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C26777" w:rsidRPr="00D8422B" w:rsidRDefault="00C26777" w:rsidP="00A30E0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D8422B">
              <w:rPr>
                <w:rFonts w:eastAsia="Times New Roman" w:cs="Arial"/>
                <w:bCs/>
                <w:sz w:val="20"/>
                <w:szCs w:val="20"/>
                <w:lang w:eastAsia="pl-PL"/>
              </w:rPr>
              <w:t>Umowa o pracę w etatach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  <w:t>0,80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  <w:t>0,8</w:t>
            </w:r>
          </w:p>
        </w:tc>
      </w:tr>
      <w:tr w:rsidR="00C26777" w:rsidRPr="00D8422B" w:rsidTr="00A30E00">
        <w:tc>
          <w:tcPr>
            <w:tcW w:w="993" w:type="dxa"/>
            <w:vMerge/>
            <w:tcBorders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rFonts w:ascii="Calibri" w:eastAsia="Lucida Sans Unicode" w:hAnsi="Calibri" w:cs="Tahoma"/>
                <w:b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FFFFCC" w:fill="FFFFFF"/>
            <w:vAlign w:val="center"/>
          </w:tcPr>
          <w:p w:rsidR="00C26777" w:rsidRPr="00D8422B" w:rsidRDefault="00C26777" w:rsidP="00A30E0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D8422B">
              <w:rPr>
                <w:rFonts w:eastAsia="Times New Roman" w:cs="Arial"/>
                <w:bCs/>
                <w:sz w:val="20"/>
                <w:szCs w:val="20"/>
                <w:lang w:eastAsia="pl-PL"/>
              </w:rPr>
              <w:t>Umowa cywilno-prawna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jc w:val="center"/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  <w:t>3</w:t>
            </w:r>
          </w:p>
        </w:tc>
      </w:tr>
      <w:tr w:rsidR="00C26777" w:rsidRPr="00D8422B" w:rsidTr="00A30E00">
        <w:trPr>
          <w:cantSplit/>
          <w:trHeight w:hRule="exact" w:val="1928"/>
        </w:trPr>
        <w:tc>
          <w:tcPr>
            <w:tcW w:w="993" w:type="dxa"/>
            <w:tcBorders>
              <w:top w:val="double" w:sz="4" w:space="0" w:color="auto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left w:w="88" w:type="dxa"/>
            </w:tcMar>
            <w:textDirection w:val="btLr"/>
            <w:vAlign w:val="center"/>
          </w:tcPr>
          <w:p w:rsidR="00C26777" w:rsidRPr="00D8422B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D8422B">
              <w:rPr>
                <w:rFonts w:eastAsia="Lucida Sans Unicode" w:cs="Tahoma"/>
                <w:b/>
                <w:bCs/>
                <w:spacing w:val="10"/>
                <w:sz w:val="20"/>
                <w:szCs w:val="20"/>
                <w:lang w:eastAsia="hi-IN" w:bidi="hi-IN"/>
              </w:rPr>
              <w:lastRenderedPageBreak/>
              <w:t>Ocena funkcjonowania</w:t>
            </w:r>
          </w:p>
        </w:tc>
        <w:tc>
          <w:tcPr>
            <w:tcW w:w="8221" w:type="dxa"/>
            <w:gridSpan w:val="4"/>
            <w:tcBorders>
              <w:top w:val="double" w:sz="4" w:space="0" w:color="auto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26777" w:rsidRPr="00CB2226" w:rsidRDefault="00C26777" w:rsidP="00A30E00">
            <w:pPr>
              <w:widowControl w:val="0"/>
              <w:tabs>
                <w:tab w:val="left" w:pos="709"/>
              </w:tabs>
              <w:suppressAutoHyphens/>
              <w:spacing w:before="40" w:after="40" w:line="240" w:lineRule="auto"/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CB2226"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  <w:t xml:space="preserve">Kontrakt  2016/2015  mniejszy o 98 tys. zł. Oddział w fazie rozwoju. Szpital poszukuje psychiatrów dziecięcych, których brakuje na Dolnym Śląsku. Lekarze specjaliści psychiatrii dziecięcej, bądź w trakcie specjalizacji chętniej wybierają takie ośrodki jak Wrocław. Z kolei zatrudnienie lekarza z oddalonego od Jeleniej Góry Wrocławia (ok.120 km) </w:t>
            </w:r>
            <w:proofErr w:type="spellStart"/>
            <w:r w:rsidRPr="00CB2226"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  <w:t>wiaże</w:t>
            </w:r>
            <w:proofErr w:type="spellEnd"/>
            <w:r w:rsidRPr="00CB2226">
              <w:rPr>
                <w:rFonts w:ascii="Calibri" w:eastAsia="Lucida Sans Unicode" w:hAnsi="Calibri" w:cs="Tahoma"/>
                <w:bCs/>
                <w:spacing w:val="10"/>
                <w:sz w:val="20"/>
                <w:szCs w:val="20"/>
                <w:lang w:eastAsia="hi-IN" w:bidi="hi-IN"/>
              </w:rPr>
              <w:t xml:space="preserve"> się z ogromnymi oczekiwaniami finansowymi, których nie udźwignie kontrakt z NFZ.</w:t>
            </w:r>
          </w:p>
        </w:tc>
      </w:tr>
    </w:tbl>
    <w:p w:rsidR="00D21D9F" w:rsidRDefault="00D21D9F">
      <w:bookmarkStart w:id="0" w:name="_GoBack"/>
      <w:bookmarkEnd w:id="0"/>
    </w:p>
    <w:sectPr w:rsidR="00D21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77"/>
    <w:rsid w:val="00C26777"/>
    <w:rsid w:val="00D2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BECBD-F94A-4C9D-A55A-2C4A0F25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6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Przemek</cp:lastModifiedBy>
  <cp:revision>1</cp:revision>
  <dcterms:created xsi:type="dcterms:W3CDTF">2018-03-13T10:39:00Z</dcterms:created>
  <dcterms:modified xsi:type="dcterms:W3CDTF">2018-03-13T10:40:00Z</dcterms:modified>
</cp:coreProperties>
</file>