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Ind w:w="-45" w:type="dxa"/>
        <w:tblLayout w:type="fixed"/>
        <w:tblCellMar>
          <w:left w:w="68" w:type="dxa"/>
        </w:tblCellMar>
        <w:tblLook w:val="0000" w:firstRow="0" w:lastRow="0" w:firstColumn="0" w:lastColumn="0" w:noHBand="0" w:noVBand="0"/>
      </w:tblPr>
      <w:tblGrid>
        <w:gridCol w:w="903"/>
        <w:gridCol w:w="1393"/>
        <w:gridCol w:w="2116"/>
        <w:gridCol w:w="1991"/>
        <w:gridCol w:w="7"/>
        <w:gridCol w:w="2799"/>
      </w:tblGrid>
      <w:tr w:rsidR="00FA69A1" w:rsidTr="00A30E00">
        <w:trPr>
          <w:trHeight w:val="688"/>
        </w:trPr>
        <w:tc>
          <w:tcPr>
            <w:tcW w:w="9209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  <w:rPr>
                <w:b/>
              </w:rPr>
            </w:pPr>
            <w:bookmarkStart w:id="0" w:name="_GoBack"/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Zakres świadczeń: świadczenia dzienne psychiatryczne dla dorosłych</w:t>
            </w:r>
          </w:p>
          <w:bookmarkEnd w:id="0"/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Nazwa komórki organizacyjnej: ODDZIAŁ DZIENNY PSYCHIATRYCZNY</w:t>
            </w:r>
          </w:p>
        </w:tc>
      </w:tr>
      <w:tr w:rsidR="00FA69A1" w:rsidTr="00A30E00">
        <w:trPr>
          <w:trHeight w:val="335"/>
        </w:trPr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Nazwa parametru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jc w:val="center"/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2015 r.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napToGrid w:val="0"/>
              <w:spacing w:before="40" w:after="40" w:line="240" w:lineRule="auto"/>
              <w:ind w:left="78" w:hanging="78"/>
              <w:jc w:val="center"/>
              <w:rPr>
                <w:b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lang w:eastAsia="hi-IN" w:bidi="hi-IN"/>
              </w:rPr>
              <w:t>2016 r.</w:t>
            </w:r>
          </w:p>
        </w:tc>
      </w:tr>
      <w:tr w:rsidR="00FA69A1" w:rsidTr="00A30E00">
        <w:trPr>
          <w:trHeight w:val="306"/>
        </w:trPr>
        <w:tc>
          <w:tcPr>
            <w:tcW w:w="9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spacing w:val="10"/>
                <w:sz w:val="20"/>
                <w:szCs w:val="20"/>
                <w:lang w:eastAsia="hi-IN" w:bidi="hi-IN"/>
              </w:rPr>
              <w:t>Wskaźniki efektywności medycznej</w:t>
            </w: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Średnia liczba łóżek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24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Liczba osób leczonych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125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126</w:t>
            </w:r>
          </w:p>
        </w:tc>
      </w:tr>
      <w:tr w:rsidR="00FA69A1" w:rsidTr="00A30E00">
        <w:trPr>
          <w:trHeight w:val="335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Liczba osobodni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5 895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5 257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Średnia długość pobytu w dniach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70,78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62,58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% wykorzystania łóżek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96,7%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86,9%</w:t>
            </w:r>
          </w:p>
        </w:tc>
      </w:tr>
      <w:tr w:rsidR="00FA69A1" w:rsidTr="00A30E00">
        <w:trPr>
          <w:trHeight w:val="256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Średni czas oczekiwania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przypadki stabilne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18</w:t>
            </w:r>
          </w:p>
        </w:tc>
      </w:tr>
      <w:tr w:rsidR="00FA69A1" w:rsidTr="00A30E00">
        <w:trPr>
          <w:trHeight w:val="255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przypadki pilne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FA69A1" w:rsidTr="00A30E00">
        <w:trPr>
          <w:trHeight w:val="292"/>
        </w:trPr>
        <w:tc>
          <w:tcPr>
            <w:tcW w:w="903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spacing w:val="10"/>
                <w:sz w:val="18"/>
                <w:szCs w:val="18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Wskaźniki efektywności finansowej</w:t>
            </w:r>
          </w:p>
        </w:tc>
        <w:tc>
          <w:tcPr>
            <w:tcW w:w="3509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bezpośrednie</w:t>
            </w:r>
          </w:p>
        </w:tc>
        <w:tc>
          <w:tcPr>
            <w:tcW w:w="1991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424 369,69</w:t>
            </w:r>
          </w:p>
        </w:tc>
        <w:tc>
          <w:tcPr>
            <w:tcW w:w="2804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416 696,95</w:t>
            </w:r>
          </w:p>
        </w:tc>
      </w:tr>
      <w:tr w:rsidR="00FA69A1" w:rsidTr="00A30E00">
        <w:trPr>
          <w:trHeight w:val="335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pośrednie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97 988,87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81 989,60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Koszty zarządu i </w:t>
            </w:r>
            <w:proofErr w:type="spellStart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ogólnoadministracyjne</w:t>
            </w:r>
            <w:proofErr w:type="spellEnd"/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103 558,01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95 616,76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ogółem, w tym: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625 916,57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594 303,31</w:t>
            </w:r>
          </w:p>
        </w:tc>
      </w:tr>
      <w:tr w:rsidR="00FA69A1" w:rsidTr="00A30E00">
        <w:trPr>
          <w:trHeight w:val="51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pracy z tytułu wynagrodzeń - suma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261 353,04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282 368,12</w:t>
            </w:r>
          </w:p>
        </w:tc>
      </w:tr>
      <w:tr w:rsidR="00FA69A1" w:rsidTr="00A30E00">
        <w:trPr>
          <w:trHeight w:val="525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Koszty pracy z tytułu umów cywilno-prawnych (kontrakty) - suma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106 957,10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87 916,16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Przychody ogółem, w tym: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526 129,00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473 107,00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Przychody z NFZ, w tym: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526 129,00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473 107,00</w:t>
            </w:r>
          </w:p>
        </w:tc>
      </w:tr>
      <w:tr w:rsidR="00FA69A1" w:rsidTr="00A30E00">
        <w:trPr>
          <w:trHeight w:val="525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nieopłacone </w:t>
            </w:r>
            <w:proofErr w:type="spellStart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nadwykoniania</w:t>
            </w:r>
            <w:proofErr w:type="spellEnd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 wg stanu na 31.12  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FA69A1" w:rsidTr="00A30E00">
        <w:trPr>
          <w:trHeight w:val="51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nieopłacone </w:t>
            </w:r>
            <w:proofErr w:type="spellStart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nadwykoniania</w:t>
            </w:r>
            <w:proofErr w:type="spellEnd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 wg stanu na dzień sporządzenia raportu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0,00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Wynik finansowy (bez </w:t>
            </w:r>
            <w:proofErr w:type="spellStart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nadwykonań</w:t>
            </w:r>
            <w:proofErr w:type="spellEnd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-99 787,57</w:t>
            </w: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-121 196,31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 xml:space="preserve">Wynik finansowy (z </w:t>
            </w:r>
            <w:proofErr w:type="spellStart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nadwykonaniami</w:t>
            </w:r>
            <w:proofErr w:type="spellEnd"/>
            <w:r w:rsidRPr="00323C51">
              <w:rPr>
                <w:rFonts w:eastAsia="Lucida Sans Unicode" w:cs="Tahoma"/>
                <w:bCs/>
                <w:spacing w:val="10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  <w:tr w:rsidR="00FA69A1" w:rsidTr="00A30E00">
        <w:trPr>
          <w:trHeight w:val="423"/>
        </w:trPr>
        <w:tc>
          <w:tcPr>
            <w:tcW w:w="903" w:type="dxa"/>
            <w:vMerge w:val="restart"/>
            <w:tcBorders>
              <w:top w:val="doub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t>Analiza zatrudnienia – wybrane informacje</w:t>
            </w:r>
          </w:p>
        </w:tc>
        <w:tc>
          <w:tcPr>
            <w:tcW w:w="1393" w:type="dxa"/>
            <w:vMerge w:val="restart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8422B">
              <w:rPr>
                <w:rFonts w:eastAsia="Times New Roman" w:cs="Arial"/>
                <w:b/>
                <w:sz w:val="18"/>
                <w:szCs w:val="18"/>
                <w:lang w:eastAsia="pl-PL"/>
              </w:rPr>
              <w:t>Lekarze (z rezydentami, bez stażystów)</w:t>
            </w:r>
          </w:p>
        </w:tc>
        <w:tc>
          <w:tcPr>
            <w:tcW w:w="2116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1998" w:type="dxa"/>
            <w:gridSpan w:val="2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2797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etatach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0,40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0,40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2</w:t>
            </w:r>
          </w:p>
        </w:tc>
      </w:tr>
      <w:tr w:rsidR="00FA69A1" w:rsidTr="00A30E00">
        <w:trPr>
          <w:trHeight w:val="438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23C51">
              <w:rPr>
                <w:rFonts w:eastAsia="Times New Roman" w:cs="Arial"/>
                <w:sz w:val="18"/>
                <w:szCs w:val="18"/>
                <w:lang w:eastAsia="pl-PL"/>
              </w:rPr>
              <w:t>Pielęgniarki i położne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1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etatach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0,5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0,5</w:t>
            </w:r>
          </w:p>
        </w:tc>
      </w:tr>
      <w:tr w:rsidR="00FA69A1" w:rsidTr="00A30E00">
        <w:trPr>
          <w:trHeight w:val="335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FA69A1" w:rsidTr="00A30E00">
        <w:trPr>
          <w:trHeight w:val="438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 xml:space="preserve">Psycholodzy, psychoterapeuci 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o pracę w osobach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</w:t>
            </w:r>
          </w:p>
        </w:tc>
      </w:tr>
      <w:tr w:rsidR="00FA69A1" w:rsidTr="00A30E00">
        <w:trPr>
          <w:trHeight w:val="321"/>
        </w:trPr>
        <w:tc>
          <w:tcPr>
            <w:tcW w:w="9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Umowa o </w:t>
            </w:r>
            <w:r w:rsidRPr="00D8422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pracę</w:t>
            </w: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 etatach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0,2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0,2</w:t>
            </w:r>
          </w:p>
        </w:tc>
      </w:tr>
      <w:tr w:rsidR="00FA69A1" w:rsidTr="00A30E00">
        <w:trPr>
          <w:trHeight w:val="350"/>
        </w:trPr>
        <w:tc>
          <w:tcPr>
            <w:tcW w:w="903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spacing w:after="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Umowa cywilno-prawna</w:t>
            </w:r>
          </w:p>
        </w:tc>
        <w:tc>
          <w:tcPr>
            <w:tcW w:w="1998" w:type="dxa"/>
            <w:gridSpan w:val="2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279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center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323C51"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  <w:t>4</w:t>
            </w:r>
          </w:p>
        </w:tc>
      </w:tr>
      <w:tr w:rsidR="00FA69A1" w:rsidTr="00A30E00">
        <w:trPr>
          <w:cantSplit/>
          <w:trHeight w:hRule="exact" w:val="3175"/>
        </w:trPr>
        <w:tc>
          <w:tcPr>
            <w:tcW w:w="903" w:type="dxa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FA69A1" w:rsidRPr="00D8422B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ind w:left="113" w:right="113"/>
              <w:jc w:val="center"/>
              <w:rPr>
                <w:rFonts w:eastAsia="Lucida Sans Unicode" w:cs="Tahoma"/>
                <w:b/>
                <w:bCs/>
                <w:i/>
                <w:spacing w:val="10"/>
                <w:sz w:val="20"/>
                <w:szCs w:val="20"/>
                <w:lang w:eastAsia="hi-IN" w:bidi="hi-IN"/>
              </w:rPr>
            </w:pPr>
            <w:r w:rsidRPr="00D8422B">
              <w:rPr>
                <w:rFonts w:eastAsia="Lucida Sans Unicode" w:cs="Tahoma"/>
                <w:b/>
                <w:bCs/>
                <w:spacing w:val="10"/>
                <w:sz w:val="20"/>
                <w:szCs w:val="20"/>
                <w:lang w:eastAsia="hi-IN" w:bidi="hi-IN"/>
              </w:rPr>
              <w:lastRenderedPageBreak/>
              <w:t>Ocena funkcjonowania</w:t>
            </w:r>
          </w:p>
        </w:tc>
        <w:tc>
          <w:tcPr>
            <w:tcW w:w="8305" w:type="dxa"/>
            <w:gridSpan w:val="5"/>
            <w:tcBorders>
              <w:top w:val="double" w:sz="4" w:space="0" w:color="auto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</w:tcPr>
          <w:p w:rsidR="00FA69A1" w:rsidRPr="00CB2226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jc w:val="both"/>
              <w:rPr>
                <w:rFonts w:eastAsia="Lucida Sans Unicode" w:cs="Tahoma"/>
                <w:bCs/>
                <w:spacing w:val="10"/>
                <w:lang w:eastAsia="hi-IN" w:bidi="hi-IN"/>
              </w:rPr>
            </w:pPr>
            <w:r w:rsidRPr="00CB2226">
              <w:rPr>
                <w:rFonts w:eastAsia="Lucida Sans Unicode" w:cs="Tahoma"/>
                <w:bCs/>
                <w:spacing w:val="10"/>
                <w:lang w:eastAsia="hi-IN" w:bidi="hi-IN"/>
              </w:rPr>
              <w:t xml:space="preserve">Ocena tego oddziału jest niezadawalająca. Wciąż występujące </w:t>
            </w:r>
            <w:proofErr w:type="spellStart"/>
            <w:r w:rsidRPr="00CB2226">
              <w:rPr>
                <w:rFonts w:eastAsia="Lucida Sans Unicode" w:cs="Tahoma"/>
                <w:bCs/>
                <w:spacing w:val="10"/>
                <w:lang w:eastAsia="hi-IN" w:bidi="hi-IN"/>
              </w:rPr>
              <w:t>niedowykonania</w:t>
            </w:r>
            <w:proofErr w:type="spellEnd"/>
            <w:r w:rsidRPr="00CB2226">
              <w:rPr>
                <w:rFonts w:eastAsia="Lucida Sans Unicode" w:cs="Tahoma"/>
                <w:bCs/>
                <w:spacing w:val="10"/>
                <w:lang w:eastAsia="hi-IN" w:bidi="hi-IN"/>
              </w:rPr>
              <w:t xml:space="preserve"> wiążą się z pozyskaniem pacjenta na 2 – 3 miesiące. Mimo faktu, że lekarze kierują pacjentów na leczenie psychiatryczne dzienne, to osoby takie nie decydują się na podjęcie leczenia z obawy o stratę pracy, opinii środowiska itp. Podejmowane są działania w kierunku pełniejszego wykorzystania miejsc poprzez przesunięcia ilości łóżek między oddziałami dziennymi, tak aby dostosować je do realnych potrzeb środowiska. Trzeba też uwzględnić wzrastający poziom wiedzy społecznej na temat zagrożeń z powodu nieleczonych zaburzeń nerwicowych czy psychicznych. Mimo deficytu oddziały dzienne są potrzebne. Należy je promować i uświadamiać otoczeniu  możliwości uzyskania pomocy w razie pojawiających się depresji, stanów lękowych itp.</w:t>
            </w:r>
          </w:p>
          <w:p w:rsidR="00FA69A1" w:rsidRPr="00323C51" w:rsidRDefault="00FA69A1" w:rsidP="00A30E00">
            <w:pPr>
              <w:widowControl w:val="0"/>
              <w:tabs>
                <w:tab w:val="left" w:pos="709"/>
              </w:tabs>
              <w:spacing w:before="40" w:after="40" w:line="240" w:lineRule="auto"/>
              <w:rPr>
                <w:rFonts w:eastAsia="Lucida Sans Unicode" w:cs="Tahoma"/>
                <w:bCs/>
                <w:spacing w:val="10"/>
                <w:sz w:val="20"/>
                <w:szCs w:val="20"/>
                <w:lang w:eastAsia="hi-IN" w:bidi="hi-IN"/>
              </w:rPr>
            </w:pPr>
          </w:p>
        </w:tc>
      </w:tr>
    </w:tbl>
    <w:p w:rsidR="00D21D9F" w:rsidRDefault="00D21D9F"/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A1"/>
    <w:rsid w:val="00D21D9F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3A813-6578-4C1E-A6D3-6B0F8DFF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6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2018-03-13T10:38:00Z</dcterms:created>
  <dcterms:modified xsi:type="dcterms:W3CDTF">2018-03-13T10:39:00Z</dcterms:modified>
</cp:coreProperties>
</file>