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5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918"/>
        <w:gridCol w:w="1258"/>
        <w:gridCol w:w="251"/>
        <w:gridCol w:w="1939"/>
        <w:gridCol w:w="2066"/>
        <w:gridCol w:w="7"/>
        <w:gridCol w:w="2627"/>
      </w:tblGrid>
      <w:tr w:rsidR="00153E25" w:rsidRPr="00A906E6" w:rsidTr="00A30E00">
        <w:trPr>
          <w:trHeight w:val="707"/>
        </w:trPr>
        <w:tc>
          <w:tcPr>
            <w:tcW w:w="906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ind w:left="78" w:hanging="78"/>
              <w:rPr>
                <w:b/>
              </w:rPr>
            </w:pPr>
            <w:bookmarkStart w:id="0" w:name="_GoBack"/>
            <w:r w:rsidRPr="00A906E6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Zakres świadczeń: leczenie zaburzeń nerwicowych dla dorosłych</w:t>
            </w:r>
          </w:p>
          <w:bookmarkEnd w:id="0"/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ind w:left="78" w:hanging="78"/>
              <w:rPr>
                <w:b/>
              </w:rPr>
            </w:pPr>
            <w:r w:rsidRPr="00A906E6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Nazwa komórki organizacyjnej: ODDZIAŁ LECZENIA ZABURZEŃ NERWICOWYCH</w:t>
            </w:r>
          </w:p>
        </w:tc>
      </w:tr>
      <w:tr w:rsidR="00153E25" w:rsidRPr="00A906E6" w:rsidTr="00A30E00"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153E25" w:rsidRPr="00D8422B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Nazwa parametru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D8422B" w:rsidRDefault="00153E25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jc w:val="center"/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2015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D8422B" w:rsidRDefault="00153E25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ind w:left="78" w:hanging="78"/>
              <w:jc w:val="center"/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2016</w:t>
            </w:r>
          </w:p>
        </w:tc>
      </w:tr>
      <w:tr w:rsidR="00153E25" w:rsidRPr="00A906E6" w:rsidTr="00A30E00"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Lucida Sans Unicode" w:cs="Tahoma"/>
                <w:b/>
                <w:bCs/>
                <w:spacing w:val="10"/>
                <w:sz w:val="18"/>
                <w:szCs w:val="18"/>
                <w:lang w:eastAsia="hi-IN" w:bidi="hi-IN"/>
              </w:rPr>
            </w:pPr>
            <w:r w:rsidRPr="00A906E6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Wskaźniki efektywności medycznej</w:t>
            </w:r>
          </w:p>
        </w:tc>
        <w:tc>
          <w:tcPr>
            <w:tcW w:w="3448" w:type="dxa"/>
            <w:gridSpan w:val="3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Średnia liczba łóżek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160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160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Liczba osób leczonych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1 851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1 795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Liczba osobodni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54 417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53 700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Średnia długość pobytu w dniach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30,06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30,63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% wykorzystania łóżek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100,43%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98,1</w:t>
            </w:r>
          </w:p>
        </w:tc>
      </w:tr>
      <w:tr w:rsidR="00153E25" w:rsidRPr="00A906E6" w:rsidTr="00A30E00">
        <w:trPr>
          <w:trHeight w:val="263"/>
        </w:trPr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Średni czas oczekiwania</w:t>
            </w: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przypadki stabilne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135</w:t>
            </w:r>
          </w:p>
        </w:tc>
        <w:tc>
          <w:tcPr>
            <w:tcW w:w="2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251</w:t>
            </w:r>
          </w:p>
        </w:tc>
      </w:tr>
      <w:tr w:rsidR="00153E25" w:rsidRPr="00A906E6" w:rsidTr="00A30E00">
        <w:trPr>
          <w:trHeight w:val="262"/>
        </w:trPr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50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przypadki pilne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2634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32</w:t>
            </w:r>
          </w:p>
        </w:tc>
      </w:tr>
      <w:tr w:rsidR="00153E25" w:rsidRPr="00A906E6" w:rsidTr="00A30E00"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53E25" w:rsidRPr="00323C51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Lucida Sans Unicode" w:cs="Tahoma"/>
                <w:b/>
                <w:bCs/>
                <w:spacing w:val="10"/>
                <w:sz w:val="18"/>
                <w:szCs w:val="18"/>
                <w:lang w:eastAsia="hi-IN" w:bidi="hi-IN"/>
              </w:rPr>
            </w:pPr>
            <w:r w:rsidRPr="00323C51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Wskaźniki efektywności finansowej</w:t>
            </w:r>
          </w:p>
        </w:tc>
        <w:tc>
          <w:tcPr>
            <w:tcW w:w="3448" w:type="dxa"/>
            <w:gridSpan w:val="3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323C51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bezpośrednie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4 097 620,37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4 239 076,58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pośrednie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1 302 204,25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1 296 927,74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Koszty zarządu i </w:t>
            </w:r>
            <w:proofErr w:type="spellStart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ogólnoadministracyjne</w:t>
            </w:r>
            <w:proofErr w:type="spellEnd"/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782 347,64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676 940,04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ogółem, w tym: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6 182 172,26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6 212 944,36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pracy z tytułu wynagrodzeń - suma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1 970 967,28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2 010 712,63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pracy z tytułu umów cywilno-prawnych (kontrakty) - suma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850 041,20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968 870,63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Przychody ogółem, w tym: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7 065 207,00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7 081 423,00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Przychody z NFZ, w tym: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7 065 207,00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7 081 423,00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nieopłacone </w:t>
            </w:r>
            <w:proofErr w:type="spellStart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nadwykoniania</w:t>
            </w:r>
            <w:proofErr w:type="spellEnd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 wg stanu na 31.12 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30 667,00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nieopłacone </w:t>
            </w:r>
            <w:proofErr w:type="spellStart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nadwykoniania</w:t>
            </w:r>
            <w:proofErr w:type="spellEnd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 (na dzień sporządzenia raportu)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18 397,00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Wynik finansowy (bez </w:t>
            </w:r>
            <w:proofErr w:type="spellStart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nadwykonań</w:t>
            </w:r>
            <w:proofErr w:type="spellEnd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883 034,74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868 478,64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448" w:type="dxa"/>
            <w:gridSpan w:val="3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Wynik finansowy (z </w:t>
            </w:r>
            <w:proofErr w:type="spellStart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nadwykonaniami</w:t>
            </w:r>
            <w:proofErr w:type="spellEnd"/>
            <w:r w:rsidRPr="00A906E6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</w:tr>
      <w:tr w:rsidR="00153E25" w:rsidRPr="00A906E6" w:rsidTr="00A30E00">
        <w:tc>
          <w:tcPr>
            <w:tcW w:w="918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53E25" w:rsidRPr="00323C51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323C51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Analiza zatrudnienia – wybrane informacje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323C51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3C51">
              <w:rPr>
                <w:rFonts w:eastAsia="Times New Roman" w:cs="Arial"/>
                <w:sz w:val="18"/>
                <w:szCs w:val="18"/>
                <w:lang w:eastAsia="pl-PL"/>
              </w:rPr>
              <w:t>Lekarze (z rezydentami, bez stażystów)</w:t>
            </w:r>
          </w:p>
        </w:tc>
        <w:tc>
          <w:tcPr>
            <w:tcW w:w="2190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osobach</w:t>
            </w:r>
          </w:p>
        </w:tc>
        <w:tc>
          <w:tcPr>
            <w:tcW w:w="2073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627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etatach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3,4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3,00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cywilno-prawna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906E6">
              <w:rPr>
                <w:rFonts w:eastAsia="Times New Roman" w:cs="Arial"/>
                <w:sz w:val="18"/>
                <w:szCs w:val="18"/>
                <w:lang w:eastAsia="pl-PL"/>
              </w:rPr>
              <w:t>Pielęgniarki i położne</w:t>
            </w: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osobach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17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etatach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19,00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17,00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cywilno-prawna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proofErr w:type="spellStart"/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Psycholodzy,psychoterapeuci</w:t>
            </w:r>
            <w:proofErr w:type="spellEnd"/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osobach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etatach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4,00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4,00</w:t>
            </w:r>
          </w:p>
        </w:tc>
      </w:tr>
      <w:tr w:rsidR="00153E25" w:rsidRPr="00A906E6" w:rsidTr="00A30E00">
        <w:tc>
          <w:tcPr>
            <w:tcW w:w="918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258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906E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cywilno-prawna</w:t>
            </w:r>
          </w:p>
        </w:tc>
        <w:tc>
          <w:tcPr>
            <w:tcW w:w="2073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627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12</w:t>
            </w:r>
          </w:p>
        </w:tc>
      </w:tr>
      <w:tr w:rsidR="00153E25" w:rsidRPr="00A906E6" w:rsidTr="00A30E00">
        <w:trPr>
          <w:cantSplit/>
          <w:trHeight w:hRule="exact" w:val="1134"/>
        </w:trPr>
        <w:tc>
          <w:tcPr>
            <w:tcW w:w="918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153E25" w:rsidRPr="00323C51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Lucida Sans Unicode" w:cs="Tahoma"/>
                <w:b/>
                <w:bCs/>
                <w:i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Ocena funkcjonowania</w:t>
            </w:r>
          </w:p>
        </w:tc>
        <w:tc>
          <w:tcPr>
            <w:tcW w:w="8148" w:type="dxa"/>
            <w:gridSpan w:val="6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Kontrakt na Oddział Leczenia Nerwic mimo niezmienności wartości osobodnia od kilku lat jest adekwatny do potrzeb. Dzięki takiej rentowności możemy inwestować w remonty łazienek, doposażenie pokoi pacjentów, wymianę mebli, łóżek , pościeli itp.</w:t>
            </w:r>
          </w:p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  <w:p w:rsidR="00153E25" w:rsidRPr="00A906E6" w:rsidRDefault="00153E25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</w:tr>
    </w:tbl>
    <w:p w:rsidR="00D21D9F" w:rsidRDefault="00D21D9F"/>
    <w:sectPr w:rsidR="00D2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25"/>
    <w:rsid w:val="00153E25"/>
    <w:rsid w:val="00D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7639F-ECF8-44E8-89D6-933B7D5A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E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2018-03-13T10:36:00Z</dcterms:created>
  <dcterms:modified xsi:type="dcterms:W3CDTF">2018-03-13T10:37:00Z</dcterms:modified>
</cp:coreProperties>
</file>